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544" w:rsidRDefault="00744544" w:rsidP="00744544">
      <w:pPr>
        <w:pStyle w:val="paragraph"/>
        <w:spacing w:before="0" w:beforeAutospacing="0" w:after="0" w:afterAutospacing="0"/>
        <w:jc w:val="center"/>
        <w:textAlignment w:val="baseline"/>
        <w:rPr>
          <w:rFonts w:ascii="Arial" w:hAnsi="Arial" w:cs="Arial"/>
          <w:sz w:val="18"/>
          <w:szCs w:val="18"/>
        </w:rPr>
      </w:pPr>
      <w:r>
        <w:rPr>
          <w:rStyle w:val="normaltextrun"/>
          <w:rFonts w:ascii="Tahoma" w:hAnsi="Tahoma" w:cs="Tahoma"/>
          <w:b/>
          <w:bCs/>
          <w:sz w:val="28"/>
          <w:szCs w:val="28"/>
        </w:rPr>
        <w:t>Annotated Bibliographies</w:t>
      </w:r>
      <w:r>
        <w:rPr>
          <w:rStyle w:val="eop"/>
          <w:rFonts w:ascii="Tahoma" w:hAnsi="Tahoma" w:cs="Tahoma"/>
          <w:sz w:val="28"/>
          <w:szCs w:val="28"/>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b/>
          <w:bCs/>
          <w:sz w:val="24"/>
          <w:szCs w:val="24"/>
        </w:rPr>
        <w:t>Instructions</w:t>
      </w:r>
      <w:r>
        <w:rPr>
          <w:rStyle w:val="normaltextrun"/>
          <w:rFonts w:ascii="Tahoma" w:hAnsi="Tahoma" w:cs="Tahoma"/>
          <w:sz w:val="24"/>
          <w:szCs w:val="24"/>
        </w:rPr>
        <w:t>: This document is where you will copy/paste your annotated bibliography for the article you found during the course of Module 1 Assignment #4.  Use the template below of the Tybur et al. (2009) paper when you are including your annotation (make sure you have the article citation first and the annotation below it).  Add your name in parentheses at the end of your annotation to distinguish in case there are multiple annotations of the same article (everyone should do this, even if you’re the first with your article!).</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i/>
          <w:iCs/>
          <w:sz w:val="24"/>
          <w:szCs w:val="24"/>
        </w:rPr>
        <w:t>What happe</w:t>
      </w:r>
      <w:bookmarkStart w:id="0" w:name="_GoBack"/>
      <w:bookmarkEnd w:id="0"/>
      <w:r>
        <w:rPr>
          <w:rStyle w:val="normaltextrun"/>
          <w:rFonts w:ascii="Tahoma" w:hAnsi="Tahoma" w:cs="Tahoma"/>
          <w:i/>
          <w:iCs/>
          <w:sz w:val="24"/>
          <w:szCs w:val="24"/>
        </w:rPr>
        <w:t>ns if someone else has already included an annotation for the article you found?</w:t>
      </w:r>
      <w:r>
        <w:rPr>
          <w:rStyle w:val="normaltextrun"/>
          <w:rFonts w:ascii="Tahoma" w:hAnsi="Tahoma" w:cs="Tahoma"/>
          <w:sz w:val="24"/>
          <w:szCs w:val="24"/>
        </w:rPr>
        <w:t>  There’s no need to add a duplicate file to the article repository folder, but you should still include your annotation in this document.  Please make sure that you’re not just duplicating or paraphrasing an existing annotation – it's important that you provide your own unique annotation.</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b/>
          <w:bCs/>
          <w:sz w:val="24"/>
          <w:szCs w:val="24"/>
        </w:rPr>
        <w:t>Example annotation</w:t>
      </w:r>
      <w:r>
        <w:rPr>
          <w:rStyle w:val="normaltextrun"/>
          <w:rFonts w:ascii="Tahoma" w:hAnsi="Tahoma" w:cs="Tahoma"/>
          <w:sz w:val="24"/>
          <w:szCs w:val="24"/>
        </w:rPr>
        <w:t> (You should not add your own annotation to this one! Get a different article </w:t>
      </w:r>
      <w:r>
        <w:rPr>
          <w:rStyle w:val="normaltextrun"/>
          <w:rFonts w:ascii="Helvetica" w:hAnsi="Helvetica" w:cs="Arial"/>
          <w:sz w:val="24"/>
          <w:szCs w:val="24"/>
        </w:rPr>
        <w:t>😊.</w:t>
      </w:r>
      <w:r>
        <w:rPr>
          <w:rStyle w:val="normaltextrun"/>
          <w:rFonts w:ascii="Tahoma" w:hAnsi="Tahoma" w:cs="Tahoma"/>
          <w:sz w:val="24"/>
          <w:szCs w:val="24"/>
        </w:rPr>
        <w:t>)</w:t>
      </w:r>
      <w:r>
        <w:rPr>
          <w:rStyle w:val="eop"/>
          <w:rFonts w:ascii="Tahoma" w:hAnsi="Tahoma" w:cs="Tahoma"/>
          <w:sz w:val="24"/>
          <w:szCs w:val="24"/>
        </w:rPr>
        <w:t> </w:t>
      </w:r>
    </w:p>
    <w:p w:rsidR="00744544" w:rsidRDefault="00744544" w:rsidP="00744544">
      <w:pPr>
        <w:pStyle w:val="paragraph"/>
        <w:spacing w:before="0" w:beforeAutospacing="0" w:after="0" w:afterAutospacing="0"/>
        <w:ind w:left="720" w:hanging="720"/>
        <w:textAlignment w:val="baseline"/>
        <w:rPr>
          <w:rFonts w:ascii="Arial" w:hAnsi="Arial" w:cs="Arial"/>
          <w:sz w:val="18"/>
          <w:szCs w:val="18"/>
        </w:rPr>
      </w:pPr>
      <w:r>
        <w:rPr>
          <w:rStyle w:val="normaltextrun"/>
          <w:rFonts w:ascii="Tahoma" w:hAnsi="Tahoma" w:cs="Tahoma"/>
          <w:sz w:val="24"/>
          <w:szCs w:val="24"/>
        </w:rPr>
        <w:t>Tybur, J. M., Lieberman, D., &amp; Griskevicius, V. (2009). Microbes, mating, and morality: Individual differences in three functional domains of disgust. </w:t>
      </w:r>
      <w:r>
        <w:rPr>
          <w:rStyle w:val="normaltextrun"/>
          <w:rFonts w:ascii="Tahoma" w:hAnsi="Tahoma" w:cs="Tahoma"/>
          <w:i/>
          <w:iCs/>
          <w:sz w:val="24"/>
          <w:szCs w:val="24"/>
        </w:rPr>
        <w:t>Journal of Personality &amp; Social Psychology</w:t>
      </w:r>
      <w:r>
        <w:rPr>
          <w:rStyle w:val="normaltextrun"/>
          <w:rFonts w:ascii="Tahoma" w:hAnsi="Tahoma" w:cs="Tahoma"/>
          <w:sz w:val="24"/>
          <w:szCs w:val="24"/>
        </w:rPr>
        <w:t>, </w:t>
      </w:r>
      <w:r>
        <w:rPr>
          <w:rStyle w:val="normaltextrun"/>
          <w:rFonts w:ascii="Tahoma" w:hAnsi="Tahoma" w:cs="Tahoma"/>
          <w:i/>
          <w:iCs/>
          <w:sz w:val="24"/>
          <w:szCs w:val="24"/>
        </w:rPr>
        <w:t>97</w:t>
      </w:r>
      <w:r>
        <w:rPr>
          <w:rStyle w:val="normaltextrun"/>
          <w:rFonts w:ascii="Tahoma" w:hAnsi="Tahoma" w:cs="Tahoma"/>
          <w:sz w:val="24"/>
          <w:szCs w:val="24"/>
        </w:rPr>
        <w:t>, 103-122. Doi: 10.1037/a0015474</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sz w:val="24"/>
          <w:szCs w:val="24"/>
        </w:rPr>
        <w:t>The authors constructed the Three-Domain Disgust scale based on their theory that the emotion of disgust serves practical and specific functional purposes.  They positioned their scale against some of the existing disgust scales because of the clearer evidence for their proposed domains (pathogen, sexual, and moral), contrary to other scales that include animal- and death-related disgust or a general disgust sensitivity.  Instead, Tybur et al. suggested that these three domains represent adaptations developed based on evolutionary pressures.  For example, pathogen disgust developed to protect us from eating spoiled food that could make us sick; sexual disgust developed to motivate us to avoid sex that might have too high a cost (biologically or socially); moral disgust developed to help us avoid socially costly interactions with people who might harm us or our status in our group or community.  Across four studies, the authors found support for their scale and factor structure (that is, the three distinct domains of disgust). (Dr. K)</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sz w:val="24"/>
          <w:szCs w:val="24"/>
        </w:rPr>
        <w:t>______________________________________________________________________</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rFonts w:ascii="Tahoma" w:hAnsi="Tahoma" w:cs="Tahoma"/>
          <w:sz w:val="24"/>
          <w:szCs w:val="24"/>
        </w:rPr>
        <w:t> </w:t>
      </w:r>
    </w:p>
    <w:p w:rsidR="00744544" w:rsidRDefault="00744544" w:rsidP="00744544">
      <w:pPr>
        <w:pStyle w:val="paragraph"/>
        <w:spacing w:before="0" w:beforeAutospacing="0" w:after="0" w:afterAutospacing="0"/>
        <w:ind w:left="720" w:hanging="720"/>
        <w:textAlignment w:val="baseline"/>
        <w:rPr>
          <w:rFonts w:ascii="Arial" w:hAnsi="Arial" w:cs="Arial"/>
          <w:sz w:val="18"/>
          <w:szCs w:val="18"/>
        </w:rPr>
      </w:pPr>
      <w:r>
        <w:rPr>
          <w:rStyle w:val="eop"/>
          <w:rFonts w:ascii="Tahoma" w:hAnsi="Tahoma" w:cs="Tahoma"/>
          <w:color w:val="555555"/>
          <w:sz w:val="28"/>
          <w:szCs w:val="28"/>
        </w:rPr>
        <w:t> </w:t>
      </w:r>
    </w:p>
    <w:p w:rsidR="00744544" w:rsidRDefault="00744544" w:rsidP="00744544">
      <w:pPr>
        <w:pStyle w:val="paragraph"/>
        <w:spacing w:before="0" w:beforeAutospacing="0" w:after="0" w:afterAutospacing="0"/>
        <w:ind w:left="720" w:hanging="720"/>
        <w:textAlignment w:val="baseline"/>
        <w:rPr>
          <w:rFonts w:ascii="Arial" w:hAnsi="Arial" w:cs="Arial"/>
          <w:sz w:val="18"/>
          <w:szCs w:val="18"/>
        </w:rPr>
      </w:pPr>
      <w:r>
        <w:rPr>
          <w:rStyle w:val="eop"/>
          <w:rFonts w:ascii="Tahoma" w:hAnsi="Tahoma" w:cs="Tahoma"/>
          <w:color w:val="555555"/>
          <w:sz w:val="28"/>
          <w:szCs w:val="28"/>
        </w:rPr>
        <w:t> </w:t>
      </w:r>
    </w:p>
    <w:p w:rsidR="00744544" w:rsidRDefault="00744544" w:rsidP="00744544">
      <w:pPr>
        <w:pStyle w:val="paragraph"/>
        <w:spacing w:before="0" w:beforeAutospacing="0" w:after="0" w:afterAutospacing="0"/>
        <w:ind w:left="720" w:hanging="720"/>
        <w:textAlignment w:val="baseline"/>
        <w:rPr>
          <w:rFonts w:ascii="Arial" w:hAnsi="Arial" w:cs="Arial"/>
          <w:sz w:val="18"/>
          <w:szCs w:val="18"/>
        </w:rPr>
      </w:pPr>
      <w:r>
        <w:rPr>
          <w:rStyle w:val="eop"/>
          <w:rFonts w:ascii="Tahoma" w:hAnsi="Tahoma" w:cs="Tahoma"/>
          <w:color w:val="555555"/>
          <w:sz w:val="28"/>
          <w:szCs w:val="28"/>
        </w:rPr>
        <w:t> </w:t>
      </w:r>
    </w:p>
    <w:p w:rsidR="00744544" w:rsidRDefault="00744544" w:rsidP="00744544">
      <w:pPr>
        <w:pStyle w:val="paragraph"/>
        <w:spacing w:before="0" w:beforeAutospacing="0" w:after="0" w:afterAutospacing="0"/>
        <w:ind w:left="720" w:hanging="720"/>
        <w:textAlignment w:val="baseline"/>
        <w:rPr>
          <w:rFonts w:ascii="Arial" w:hAnsi="Arial" w:cs="Arial"/>
          <w:sz w:val="18"/>
          <w:szCs w:val="18"/>
        </w:rPr>
      </w:pPr>
      <w:r>
        <w:rPr>
          <w:rStyle w:val="eop"/>
          <w:rFonts w:ascii="Tahoma" w:hAnsi="Tahoma" w:cs="Tahoma"/>
          <w:color w:val="555555"/>
          <w:sz w:val="28"/>
          <w:szCs w:val="28"/>
        </w:rPr>
        <w:t> </w:t>
      </w:r>
    </w:p>
    <w:p w:rsidR="00744544" w:rsidRDefault="00744544" w:rsidP="00744544">
      <w:pPr>
        <w:pStyle w:val="paragraph"/>
        <w:spacing w:before="0" w:beforeAutospacing="0" w:after="0" w:afterAutospacing="0"/>
        <w:ind w:left="720" w:hanging="720"/>
        <w:textAlignment w:val="baseline"/>
        <w:rPr>
          <w:rFonts w:ascii="Arial" w:hAnsi="Arial" w:cs="Arial"/>
          <w:sz w:val="18"/>
          <w:szCs w:val="18"/>
        </w:rPr>
      </w:pPr>
      <w:r>
        <w:rPr>
          <w:rStyle w:val="normaltextrun"/>
          <w:rFonts w:ascii="Tahoma" w:hAnsi="Tahoma" w:cs="Tahoma"/>
          <w:color w:val="555555"/>
          <w:sz w:val="24"/>
          <w:szCs w:val="24"/>
        </w:rPr>
        <w:t>Mentser, S., &amp; Nussinson, R. (2020). We're not of the same feather: Disgust sensitivity and reduced perceived similarity to unknown others.</w:t>
      </w:r>
      <w:r>
        <w:rPr>
          <w:rStyle w:val="normaltextrun"/>
          <w:rFonts w:ascii="Tahoma" w:hAnsi="Tahoma" w:cs="Tahoma"/>
          <w:i/>
          <w:iCs/>
          <w:color w:val="555555"/>
          <w:sz w:val="24"/>
          <w:szCs w:val="24"/>
        </w:rPr>
        <w:t> Personality and Individual Differences, 163</w:t>
      </w:r>
      <w:r>
        <w:rPr>
          <w:rStyle w:val="normaltextrun"/>
          <w:rFonts w:ascii="Tahoma" w:hAnsi="Tahoma" w:cs="Tahoma"/>
          <w:color w:val="555555"/>
          <w:sz w:val="24"/>
          <w:szCs w:val="24"/>
        </w:rPr>
        <w:t>, 8. doi: </w:t>
      </w:r>
      <w:r>
        <w:rPr>
          <w:rFonts w:ascii="Arial" w:hAnsi="Arial" w:cs="Arial"/>
          <w:sz w:val="18"/>
          <w:szCs w:val="18"/>
        </w:rPr>
        <w:fldChar w:fldCharType="begin"/>
      </w:r>
      <w:r>
        <w:rPr>
          <w:rFonts w:ascii="Arial" w:hAnsi="Arial" w:cs="Arial"/>
          <w:sz w:val="18"/>
          <w:szCs w:val="18"/>
        </w:rPr>
        <w:instrText xml:space="preserve"> HYPERLINK "http://dx.doi.org.bsuproxy.mnpals.net/10.1016/j.paid.2020.110039" \t "_blank" </w:instrText>
      </w:r>
      <w:r>
        <w:rPr>
          <w:rFonts w:ascii="Arial" w:hAnsi="Arial" w:cs="Arial"/>
          <w:sz w:val="18"/>
          <w:szCs w:val="18"/>
        </w:rPr>
      </w:r>
      <w:r>
        <w:rPr>
          <w:rFonts w:ascii="Arial" w:hAnsi="Arial" w:cs="Arial"/>
          <w:sz w:val="18"/>
          <w:szCs w:val="18"/>
        </w:rPr>
        <w:fldChar w:fldCharType="separate"/>
      </w:r>
      <w:r>
        <w:rPr>
          <w:rStyle w:val="normaltextrun"/>
          <w:rFonts w:ascii="Tahoma" w:hAnsi="Tahoma" w:cs="Tahoma"/>
          <w:color w:val="0563C1"/>
          <w:sz w:val="24"/>
          <w:szCs w:val="24"/>
          <w:u w:val="single"/>
        </w:rPr>
        <w:t>10.1016/j.paid.2020.110039</w:t>
      </w:r>
      <w:r>
        <w:rPr>
          <w:rFonts w:ascii="Arial" w:hAnsi="Arial" w:cs="Arial"/>
          <w:sz w:val="18"/>
          <w:szCs w:val="18"/>
        </w:rPr>
        <w:fldChar w:fldCharType="end"/>
      </w:r>
      <w:r>
        <w:rPr>
          <w:rStyle w:val="eop"/>
          <w:rFonts w:ascii="Calibri" w:hAnsi="Calibri" w:cs="Arial"/>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color w:val="555555"/>
          <w:sz w:val="24"/>
          <w:szCs w:val="24"/>
        </w:rPr>
        <w:lastRenderedPageBreak/>
        <w:t>The authors assert that people with a high sensitivity to disgust will be less likely to view others as similar to themselves, thus preventing interaction and subsequent bonding or attraction. It has been theorized that disgust is an adaptation that evolved to protect humans from pathogens by triggering avoidance behavior. Research has also shown that people tend to interact socially with those who are similar to themselves and avoid those who are dissimilar. The authors reason that those with a high sensitivity to disgust (thus, a high propensity for avoidance) will have a lower tendency to view others as similar, which also contributes to avoidance. Data collected across four studies supports their assertion. However, this negative correlation involved only strangers. The authors note that further research needs to be done to determine if familiarity, such as an intimate relationship, overrides sensitivity to disgust. (Jennifer Slafter)</w:t>
      </w:r>
      <w:r>
        <w:rPr>
          <w:rStyle w:val="eop"/>
          <w:rFonts w:ascii="Tahoma" w:hAnsi="Tahoma" w:cs="Tahoma"/>
          <w:color w:val="555555"/>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rFonts w:ascii="Tahoma" w:hAnsi="Tahoma" w:cs="Tahoma"/>
          <w:color w:val="555555"/>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rFonts w:ascii="Tahoma" w:hAnsi="Tahoma" w:cs="Tahoma"/>
          <w:color w:val="555555"/>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color w:val="555555"/>
          <w:sz w:val="24"/>
          <w:szCs w:val="24"/>
        </w:rPr>
        <w:t>Rozin, P., Lowery, L., &amp; Ebert, R. (1994). Varieties of disgust faces and the structure of </w:t>
      </w:r>
      <w:r>
        <w:rPr>
          <w:rStyle w:val="tabchar"/>
          <w:rFonts w:ascii="Calibri" w:hAnsi="Calibri" w:cs="Arial"/>
          <w:color w:val="555555"/>
          <w:sz w:val="24"/>
          <w:szCs w:val="24"/>
        </w:rPr>
        <w:t xml:space="preserve"> </w:t>
      </w:r>
      <w:r>
        <w:rPr>
          <w:rStyle w:val="normaltextrun"/>
          <w:rFonts w:ascii="Tahoma" w:hAnsi="Tahoma" w:cs="Tahoma"/>
          <w:color w:val="555555"/>
          <w:sz w:val="24"/>
          <w:szCs w:val="24"/>
        </w:rPr>
        <w:t>disgust. Journal of Personality and Social Psychology, 66(5), 870-881. Doi:</w:t>
      </w:r>
      <w:r>
        <w:rPr>
          <w:rStyle w:val="tabchar"/>
          <w:rFonts w:ascii="Calibri" w:hAnsi="Calibri" w:cs="Arial"/>
          <w:color w:val="555555"/>
          <w:sz w:val="24"/>
          <w:szCs w:val="24"/>
        </w:rPr>
        <w:t xml:space="preserve"> </w:t>
      </w:r>
      <w:r>
        <w:rPr>
          <w:rFonts w:ascii="Arial" w:hAnsi="Arial" w:cs="Arial"/>
          <w:sz w:val="18"/>
          <w:szCs w:val="18"/>
        </w:rPr>
        <w:fldChar w:fldCharType="begin"/>
      </w:r>
      <w:r>
        <w:rPr>
          <w:rFonts w:ascii="Arial" w:hAnsi="Arial" w:cs="Arial"/>
          <w:sz w:val="18"/>
          <w:szCs w:val="18"/>
        </w:rPr>
        <w:instrText xml:space="preserve"> HYPERLINK "http://dx.doi.org.bsuproxy.mnpals.net/10.1037/0022-3514.66.5.870" \t "_blank" </w:instrText>
      </w:r>
      <w:r>
        <w:rPr>
          <w:rFonts w:ascii="Arial" w:hAnsi="Arial" w:cs="Arial"/>
          <w:sz w:val="18"/>
          <w:szCs w:val="18"/>
        </w:rPr>
      </w:r>
      <w:r>
        <w:rPr>
          <w:rFonts w:ascii="Arial" w:hAnsi="Arial" w:cs="Arial"/>
          <w:sz w:val="18"/>
          <w:szCs w:val="18"/>
        </w:rPr>
        <w:fldChar w:fldCharType="separate"/>
      </w:r>
      <w:r>
        <w:rPr>
          <w:rStyle w:val="normaltextrun"/>
          <w:rFonts w:ascii="Tahoma" w:hAnsi="Tahoma" w:cs="Tahoma"/>
          <w:color w:val="0563C1"/>
          <w:sz w:val="24"/>
          <w:szCs w:val="24"/>
          <w:u w:val="single"/>
        </w:rPr>
        <w:t>10.1037/0022-3514.66.5.870</w:t>
      </w:r>
      <w:r>
        <w:rPr>
          <w:rFonts w:ascii="Arial" w:hAnsi="Arial" w:cs="Arial"/>
          <w:sz w:val="18"/>
          <w:szCs w:val="18"/>
        </w:rPr>
        <w:fldChar w:fldCharType="end"/>
      </w:r>
      <w:r>
        <w:rPr>
          <w:rStyle w:val="eop"/>
          <w:rFonts w:ascii="Tahoma" w:hAnsi="Tahoma" w:cs="Tahoma"/>
          <w:color w:val="555555"/>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color w:val="555555"/>
          <w:sz w:val="24"/>
          <w:szCs w:val="24"/>
        </w:rPr>
        <w:t>This study said that certain disgust facial expressions related to certain disgust categories. They predicted that the winkling of the nose was associated with irritating and/or offensive smells and occasionally bad tastes. The gape and tongue extrusion were associated with food offense and/or oral irritation.  Finally, the raising of the upper lip is associate with stimuli reminding participants of their animal origins such as poor hygiene, death, and moral offensives. This study was conducted multiple times to show consistent results and eliminate any other variables. Knowing how we express disgust may help us read ques in our intimate relationships to improve where needed. Overall, I feel this experiment captured the needed results and set a good standard for disgust facial ques. (McKenzie Stoen)</w:t>
      </w:r>
      <w:r>
        <w:rPr>
          <w:rStyle w:val="eop"/>
          <w:rFonts w:ascii="Tahoma" w:hAnsi="Tahoma" w:cs="Tahoma"/>
          <w:color w:val="555555"/>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rFonts w:ascii="Tahoma" w:hAnsi="Tahoma" w:cs="Tahoma"/>
          <w:color w:val="555555"/>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Calibri" w:hAnsi="Calibri" w:cs="Arial"/>
          <w:color w:val="000000"/>
          <w:sz w:val="27"/>
          <w:szCs w:val="27"/>
        </w:rPr>
        <w:t>Prokosch, M. L., Airington, Z., &amp; Murray, D. R. (2020). Investigating the relationship between olfactory acuity, disgust, and mating strategies. </w:t>
      </w:r>
      <w:r>
        <w:rPr>
          <w:rStyle w:val="normaltextrun"/>
          <w:rFonts w:ascii="Calibri" w:hAnsi="Calibri" w:cs="Arial"/>
          <w:i/>
          <w:iCs/>
          <w:color w:val="000000"/>
          <w:sz w:val="27"/>
          <w:szCs w:val="27"/>
        </w:rPr>
        <w:t>Evolution and Human Behavior</w:t>
      </w:r>
      <w:r>
        <w:rPr>
          <w:rStyle w:val="normaltextrun"/>
          <w:rFonts w:ascii="Calibri" w:hAnsi="Calibri" w:cs="Arial"/>
          <w:color w:val="000000"/>
          <w:sz w:val="27"/>
          <w:szCs w:val="27"/>
        </w:rPr>
        <w:t>. </w:t>
      </w:r>
      <w:r>
        <w:rPr>
          <w:rFonts w:ascii="Arial" w:hAnsi="Arial" w:cs="Arial"/>
          <w:sz w:val="18"/>
          <w:szCs w:val="18"/>
        </w:rPr>
        <w:fldChar w:fldCharType="begin"/>
      </w:r>
      <w:r>
        <w:rPr>
          <w:rFonts w:ascii="Arial" w:hAnsi="Arial" w:cs="Arial"/>
          <w:sz w:val="18"/>
          <w:szCs w:val="18"/>
        </w:rPr>
        <w:instrText xml:space="preserve"> HYPERLINK "https://doi.org/10.1016/j.evolhumbehav.2020.08.002" \t "_blank" </w:instrText>
      </w:r>
      <w:r>
        <w:rPr>
          <w:rFonts w:ascii="Arial" w:hAnsi="Arial" w:cs="Arial"/>
          <w:sz w:val="18"/>
          <w:szCs w:val="18"/>
        </w:rPr>
      </w:r>
      <w:r>
        <w:rPr>
          <w:rFonts w:ascii="Arial" w:hAnsi="Arial" w:cs="Arial"/>
          <w:sz w:val="18"/>
          <w:szCs w:val="18"/>
        </w:rPr>
        <w:fldChar w:fldCharType="separate"/>
      </w:r>
      <w:r>
        <w:rPr>
          <w:rStyle w:val="normaltextrun"/>
          <w:rFonts w:ascii="Calibri" w:hAnsi="Calibri" w:cs="Arial"/>
          <w:color w:val="0563C1"/>
          <w:sz w:val="27"/>
          <w:szCs w:val="27"/>
          <w:u w:val="single"/>
        </w:rPr>
        <w:t>https://doi.org/10.1016/j.evolhumbehav.2020.08.002</w:t>
      </w:r>
      <w:r>
        <w:rPr>
          <w:rFonts w:ascii="Arial" w:hAnsi="Arial" w:cs="Arial"/>
          <w:sz w:val="18"/>
          <w:szCs w:val="18"/>
        </w:rPr>
        <w:fldChar w:fldCharType="end"/>
      </w:r>
      <w:r>
        <w:rPr>
          <w:rStyle w:val="eop"/>
          <w:rFonts w:ascii="Calibri" w:hAnsi="Calibri" w:cs="Arial"/>
          <w:sz w:val="22"/>
          <w:szCs w:val="22"/>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Calibri" w:hAnsi="Calibri" w:cs="Arial"/>
          <w:color w:val="000000"/>
          <w:sz w:val="27"/>
          <w:szCs w:val="27"/>
        </w:rPr>
        <w:t>The author proposed that in this experiment, women who have a high ability to discern different smells prefer long term relationships, showing the importance of smell for relationship longevity. This study was conducted on 162 college university women. Each woman was subjected to an experiment to test their level of olfactory senses relating to threshold (choosing the strongest smell consistently), discrimination (being able to discriminate between 3 different scents consistently), and identification (identifying the correct scent between the 4 choices consistently). After documenting the results in a table, the women then were given a survey to determine their level of disgust sensitivity (rating their disgust level towards series of moral events), disease vulnerability (rating how much they believe in their ability to get sick), and mating strategy (what they prefer in a relationship, and if they prefer short term vs long term relationship). After collecting all of the data, there was a strong correlation of discrimination smell with mating strategy. Specifically, this data shows that people who prefer a long term relationship and have a higher disgust level in mating strategy have a strong level of olfactory discrimination, meaning that smell is even more important in maintaining longevity in relationships. All other variables did not show a strong correlation between them. (Jess Jensrud)</w:t>
      </w:r>
      <w:r>
        <w:rPr>
          <w:rStyle w:val="eop"/>
          <w:rFonts w:ascii="Calibri" w:hAnsi="Calibri" w:cs="Arial"/>
          <w:color w:val="000000"/>
          <w:sz w:val="27"/>
          <w:szCs w:val="27"/>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color w:val="000000"/>
          <w:sz w:val="27"/>
          <w:szCs w:val="27"/>
        </w:rPr>
        <w:t> </w:t>
      </w:r>
    </w:p>
    <w:p w:rsidR="00744544" w:rsidRDefault="00744544" w:rsidP="00744544">
      <w:pPr>
        <w:pStyle w:val="paragraph"/>
        <w:spacing w:before="0" w:beforeAutospacing="0" w:after="0" w:afterAutospacing="0"/>
        <w:textAlignment w:val="baseline"/>
        <w:rPr>
          <w:rFonts w:ascii="Arial" w:hAnsi="Arial" w:cs="Arial"/>
          <w:color w:val="2F5496"/>
          <w:sz w:val="18"/>
          <w:szCs w:val="18"/>
        </w:rPr>
      </w:pPr>
      <w:r>
        <w:rPr>
          <w:rStyle w:val="normaltextrun"/>
          <w:color w:val="000000"/>
          <w:sz w:val="24"/>
          <w:szCs w:val="24"/>
        </w:rPr>
        <w:t>Shenhav, A., Mendes, W.B. (2014). Aiming for the stomach and hitting the heart: Dissociable    </w:t>
      </w:r>
      <w:r>
        <w:rPr>
          <w:rStyle w:val="scxw231656832"/>
          <w:color w:val="000000"/>
          <w:sz w:val="24"/>
          <w:szCs w:val="24"/>
        </w:rPr>
        <w:t> </w:t>
      </w:r>
      <w:r>
        <w:rPr>
          <w:color w:val="000000"/>
          <w:sz w:val="24"/>
          <w:szCs w:val="24"/>
        </w:rPr>
        <w:br/>
      </w:r>
      <w:r>
        <w:rPr>
          <w:rStyle w:val="normaltextrun"/>
          <w:color w:val="000000"/>
          <w:sz w:val="24"/>
          <w:szCs w:val="24"/>
        </w:rPr>
        <w:t>             triggers and sources for disgust reactions. </w:t>
      </w:r>
      <w:r>
        <w:rPr>
          <w:rStyle w:val="normaltextrun"/>
          <w:i/>
          <w:iCs/>
          <w:color w:val="000000"/>
          <w:sz w:val="24"/>
          <w:szCs w:val="24"/>
        </w:rPr>
        <w:t>Emotion 14</w:t>
      </w:r>
      <w:r>
        <w:rPr>
          <w:rStyle w:val="normaltextrun"/>
          <w:color w:val="000000"/>
          <w:sz w:val="24"/>
          <w:szCs w:val="24"/>
        </w:rPr>
        <w:t> (2), 301-209.      </w:t>
      </w:r>
      <w:r>
        <w:rPr>
          <w:rStyle w:val="scxw231656832"/>
          <w:color w:val="000000"/>
          <w:sz w:val="24"/>
          <w:szCs w:val="24"/>
        </w:rPr>
        <w:t> </w:t>
      </w:r>
      <w:r>
        <w:rPr>
          <w:color w:val="000000"/>
          <w:sz w:val="24"/>
          <w:szCs w:val="24"/>
        </w:rPr>
        <w:br/>
      </w:r>
      <w:r>
        <w:rPr>
          <w:rStyle w:val="normaltextrun"/>
          <w:color w:val="000000"/>
          <w:sz w:val="24"/>
          <w:szCs w:val="24"/>
        </w:rPr>
        <w:t>             DOI:10.1037/a0034644</w:t>
      </w:r>
      <w:r>
        <w:rPr>
          <w:rStyle w:val="eop"/>
          <w:color w:val="000000"/>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rFonts w:ascii="Calibri" w:hAnsi="Calibri" w:cs="Arial"/>
          <w:color w:val="000000"/>
          <w:sz w:val="27"/>
          <w:szCs w:val="27"/>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sz w:val="24"/>
          <w:szCs w:val="24"/>
        </w:rPr>
        <w:t>The authors in this study looked at whether communicated similarities (films depicting imagery associated with core disgust, films depicting imagery associated with painful injuries &amp; films depicting imagery associated with neutral scenes) and physiological dissimilarities (expressions of disgust - facial, cardiovascular, and gastric reactivity) would be consistent when only exposed to injuries that do not have blood or explicit body-envelop violations.   The authors found that there were different expressions of disgust depending on the exposure to the films.  Relating to our class project, the facial expressions expressed when exposed to graphic images of suffering can be a predictor to increased levels of empathy towards the victims.  In other words, facial expressions when exposed to different relationship variables can help show a sense of connection to another.  (Jaclyn Johnson)</w:t>
      </w:r>
      <w:r>
        <w:rPr>
          <w:rStyle w:val="eop"/>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sz w:val="24"/>
          <w:szCs w:val="24"/>
        </w:rPr>
        <w:t>Tribiano, T. N. (2002). The experience of disgust for an intimate other: A phenomenological investigation. </w:t>
      </w:r>
      <w:r>
        <w:rPr>
          <w:rStyle w:val="normaltextrun"/>
          <w:rFonts w:ascii="Tahoma" w:hAnsi="Tahoma" w:cs="Tahoma"/>
          <w:i/>
          <w:iCs/>
          <w:sz w:val="24"/>
          <w:szCs w:val="24"/>
        </w:rPr>
        <w:t>ProQuest Information &amp; Learning, 63</w:t>
      </w:r>
      <w:r>
        <w:rPr>
          <w:rStyle w:val="normaltextrun"/>
          <w:rFonts w:ascii="Tahoma" w:hAnsi="Tahoma" w:cs="Tahoma"/>
          <w:sz w:val="24"/>
          <w:szCs w:val="24"/>
        </w:rPr>
        <w:t>(6), 3028-3029.</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sz w:val="24"/>
          <w:szCs w:val="24"/>
        </w:rPr>
        <w:t>This study said that disgust in intimate relationships results from eight common themes: idealization of the other, traumatic rupture, self-recrimination, disappointment, devaluating and depersonalization, clinging to hope, distance, and meaning making. The researchers used a qualitative interview to understand six participants' experiences with disgust in intimate relationships. Each interview began with the question: “please describe a situation in which you found yourself experiencing disgust toward a person to who you were romantically involved with”. The researchers concluded that the participants passed through one or more four temporal movements: relational homeostasis, crisis, efforts at accommodation, and resolution. These temporal movements explain the process by which the phenomenon of disgust in intimate relationships unfold. (Kerigan Dowhy)</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sz w:val="24"/>
          <w:szCs w:val="24"/>
        </w:rPr>
        <w:t> </w:t>
      </w:r>
    </w:p>
    <w:p w:rsidR="00744544" w:rsidRDefault="00744544" w:rsidP="00744544">
      <w:pPr>
        <w:pStyle w:val="paragraph"/>
        <w:spacing w:before="0" w:beforeAutospacing="0" w:after="0" w:afterAutospacing="0"/>
        <w:ind w:left="720" w:hanging="720"/>
        <w:textAlignment w:val="baseline"/>
        <w:rPr>
          <w:rFonts w:ascii="Arial" w:hAnsi="Arial" w:cs="Arial"/>
          <w:sz w:val="18"/>
          <w:szCs w:val="18"/>
        </w:rPr>
      </w:pPr>
      <w:r>
        <w:rPr>
          <w:rStyle w:val="normaltextrun"/>
          <w:rFonts w:ascii="Tahoma" w:hAnsi="Tahoma" w:cs="Tahoma"/>
          <w:sz w:val="24"/>
          <w:szCs w:val="24"/>
        </w:rPr>
        <w:t>Bužeková, T. &amp; Išová, M. (2010). Disgust and Intimacy: . </w:t>
      </w:r>
      <w:r>
        <w:rPr>
          <w:rStyle w:val="normaltextrun"/>
          <w:rFonts w:ascii="Tahoma" w:hAnsi="Tahoma" w:cs="Tahoma"/>
          <w:i/>
          <w:iCs/>
          <w:sz w:val="24"/>
          <w:szCs w:val="24"/>
        </w:rPr>
        <w:t>Human Affairs</w:t>
      </w:r>
      <w:r>
        <w:rPr>
          <w:rStyle w:val="normaltextrun"/>
          <w:rFonts w:ascii="Tahoma" w:hAnsi="Tahoma" w:cs="Tahoma"/>
          <w:sz w:val="24"/>
          <w:szCs w:val="24"/>
        </w:rPr>
        <w:t>, </w:t>
      </w:r>
      <w:r>
        <w:rPr>
          <w:rStyle w:val="normaltextrun"/>
          <w:rFonts w:ascii="Tahoma" w:hAnsi="Tahoma" w:cs="Tahoma"/>
          <w:i/>
          <w:iCs/>
          <w:sz w:val="24"/>
          <w:szCs w:val="24"/>
        </w:rPr>
        <w:t>20</w:t>
      </w:r>
      <w:r>
        <w:rPr>
          <w:rStyle w:val="normaltextrun"/>
          <w:rFonts w:ascii="Tahoma" w:hAnsi="Tahoma" w:cs="Tahoma"/>
          <w:sz w:val="24"/>
          <w:szCs w:val="24"/>
        </w:rPr>
        <w:t>(3), 232-240. </w:t>
      </w:r>
      <w:r>
        <w:rPr>
          <w:rFonts w:ascii="Arial" w:hAnsi="Arial" w:cs="Arial"/>
          <w:sz w:val="18"/>
          <w:szCs w:val="18"/>
        </w:rPr>
        <w:fldChar w:fldCharType="begin"/>
      </w:r>
      <w:r>
        <w:rPr>
          <w:rFonts w:ascii="Arial" w:hAnsi="Arial" w:cs="Arial"/>
          <w:sz w:val="18"/>
          <w:szCs w:val="18"/>
        </w:rPr>
        <w:instrText xml:space="preserve"> HYPERLINK "https://doi.org/10.2478/v10023-010-0024-x" \t "_blank" </w:instrText>
      </w:r>
      <w:r>
        <w:rPr>
          <w:rFonts w:ascii="Arial" w:hAnsi="Arial" w:cs="Arial"/>
          <w:sz w:val="18"/>
          <w:szCs w:val="18"/>
        </w:rPr>
      </w:r>
      <w:r>
        <w:rPr>
          <w:rFonts w:ascii="Arial" w:hAnsi="Arial" w:cs="Arial"/>
          <w:sz w:val="18"/>
          <w:szCs w:val="18"/>
        </w:rPr>
        <w:fldChar w:fldCharType="separate"/>
      </w:r>
      <w:r>
        <w:rPr>
          <w:rStyle w:val="normaltextrun"/>
          <w:rFonts w:ascii="Tahoma" w:hAnsi="Tahoma" w:cs="Tahoma"/>
          <w:color w:val="0563C1"/>
          <w:sz w:val="24"/>
          <w:szCs w:val="24"/>
          <w:u w:val="single"/>
        </w:rPr>
        <w:t>https://doi.org/10.2478/v10023-010-0024-x</w:t>
      </w:r>
      <w:r>
        <w:rPr>
          <w:rFonts w:ascii="Arial" w:hAnsi="Arial" w:cs="Arial"/>
          <w:sz w:val="18"/>
          <w:szCs w:val="18"/>
        </w:rPr>
        <w:fldChar w:fldCharType="end"/>
      </w:r>
      <w:r>
        <w:rPr>
          <w:rStyle w:val="eop"/>
          <w:rFonts w:ascii="Calibri" w:hAnsi="Calibri" w:cs="Arial"/>
          <w:sz w:val="22"/>
          <w:szCs w:val="22"/>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Tahoma" w:hAnsi="Tahoma" w:cs="Tahoma"/>
          <w:sz w:val="24"/>
          <w:szCs w:val="24"/>
        </w:rPr>
        <w:t>The research team conducting this study set out to determine if there was evidence to support the hypothesis that the levels of disgust people experience are impacted by their relationship to the elicitor. This preliminary research included eight adult participants who participated in an ethnographic interview, completed a Disgust Scale questionnaire, and responded to a survey. The findings indicated that higher levels of relationship intimacy with the elicitor correlate with lower levels of expressions of disgust. (Deanne Breitenbach)</w:t>
      </w:r>
      <w:r>
        <w:rPr>
          <w:rStyle w:val="eop"/>
          <w:rFonts w:ascii="Tahoma" w:hAnsi="Tahoma" w:cs="Tahoma"/>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Calibri" w:hAnsi="Calibri" w:cs="Arial"/>
          <w:sz w:val="24"/>
          <w:szCs w:val="24"/>
        </w:rPr>
        <w:t>Bužeková, T. &amp; Išová, M. (2010). Disgust and Intimacy: . </w:t>
      </w:r>
      <w:r>
        <w:rPr>
          <w:rStyle w:val="normaltextrun"/>
          <w:rFonts w:ascii="Calibri" w:hAnsi="Calibri" w:cs="Arial"/>
          <w:i/>
          <w:iCs/>
          <w:sz w:val="24"/>
          <w:szCs w:val="24"/>
        </w:rPr>
        <w:t>Human Affairs</w:t>
      </w:r>
      <w:r>
        <w:rPr>
          <w:rStyle w:val="normaltextrun"/>
          <w:rFonts w:ascii="Calibri" w:hAnsi="Calibri" w:cs="Arial"/>
          <w:sz w:val="24"/>
          <w:szCs w:val="24"/>
        </w:rPr>
        <w:t>, </w:t>
      </w:r>
      <w:r>
        <w:rPr>
          <w:rStyle w:val="normaltextrun"/>
          <w:rFonts w:ascii="Calibri" w:hAnsi="Calibri" w:cs="Arial"/>
          <w:i/>
          <w:iCs/>
          <w:sz w:val="24"/>
          <w:szCs w:val="24"/>
        </w:rPr>
        <w:t>20</w:t>
      </w:r>
      <w:r>
        <w:rPr>
          <w:rStyle w:val="normaltextrun"/>
          <w:rFonts w:ascii="Calibri" w:hAnsi="Calibri" w:cs="Arial"/>
          <w:sz w:val="24"/>
          <w:szCs w:val="24"/>
        </w:rPr>
        <w:t>(3), 232-240. </w:t>
      </w:r>
      <w:r>
        <w:rPr>
          <w:rFonts w:ascii="Arial" w:hAnsi="Arial" w:cs="Arial"/>
          <w:sz w:val="18"/>
          <w:szCs w:val="18"/>
        </w:rPr>
        <w:fldChar w:fldCharType="begin"/>
      </w:r>
      <w:r>
        <w:rPr>
          <w:rFonts w:ascii="Arial" w:hAnsi="Arial" w:cs="Arial"/>
          <w:sz w:val="18"/>
          <w:szCs w:val="18"/>
        </w:rPr>
        <w:instrText xml:space="preserve"> HYPERLINK "https://doi.org/10.2478/v10023-010-0024-x" \t "_blank" </w:instrText>
      </w:r>
      <w:r>
        <w:rPr>
          <w:rFonts w:ascii="Arial" w:hAnsi="Arial" w:cs="Arial"/>
          <w:sz w:val="18"/>
          <w:szCs w:val="18"/>
        </w:rPr>
      </w:r>
      <w:r>
        <w:rPr>
          <w:rFonts w:ascii="Arial" w:hAnsi="Arial" w:cs="Arial"/>
          <w:sz w:val="18"/>
          <w:szCs w:val="18"/>
        </w:rPr>
        <w:fldChar w:fldCharType="separate"/>
      </w:r>
      <w:r>
        <w:rPr>
          <w:rStyle w:val="normaltextrun"/>
          <w:rFonts w:ascii="Calibri" w:hAnsi="Calibri" w:cs="Arial"/>
          <w:color w:val="0563C1"/>
          <w:sz w:val="24"/>
          <w:szCs w:val="24"/>
          <w:u w:val="single"/>
        </w:rPr>
        <w:t>https://doi.org/10.2478/v10023-010-0024-x</w:t>
      </w:r>
      <w:r>
        <w:rPr>
          <w:rFonts w:ascii="Arial" w:hAnsi="Arial" w:cs="Arial"/>
          <w:sz w:val="18"/>
          <w:szCs w:val="18"/>
        </w:rPr>
        <w:fldChar w:fldCharType="end"/>
      </w:r>
      <w:r>
        <w:rPr>
          <w:rStyle w:val="eop"/>
          <w:rFonts w:ascii="Calibri" w:hAnsi="Calibri" w:cs="Arial"/>
          <w:sz w:val="22"/>
          <w:szCs w:val="22"/>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normaltextrun"/>
          <w:rFonts w:ascii="Calibri" w:hAnsi="Calibri" w:cs="Arial"/>
          <w:sz w:val="24"/>
          <w:szCs w:val="24"/>
        </w:rPr>
        <w:t>The research team conducting this study set out to demonstrate the level of disgust towards different elicitors (food, sex, other individuals, etc.) based on different social contexts. The researchers used a group of 8 individuals (5 women and 3 men) living in a student hall. The researchers used three different research methods including an ethnographic interview, a disgust-scale questionnaire, and a survey to gain their data. The ethnographic interview was used to receive background information from the individuals, along with their most disgusting experiences, and their feelings towards different categories of people in their lives. The disgust-scale questionnaire was used to gain knowledge of these individuals’ sensitivity to 7 different areas of disgust, and finally the survey as used to assess the individuals domains of disgust (animal-nature and core disgust) towards interpersonal relationships. The results have suggested that humans express less feelings of disgust depending on the level of intimacy they have with the individual. (Catrina Carlson) </w:t>
      </w:r>
      <w:r>
        <w:rPr>
          <w:rStyle w:val="eop"/>
          <w:rFonts w:ascii="Calibri" w:hAnsi="Calibri" w:cs="Arial"/>
          <w:sz w:val="24"/>
          <w:szCs w:val="24"/>
        </w:rPr>
        <w:t> </w:t>
      </w:r>
    </w:p>
    <w:p w:rsidR="00744544" w:rsidRDefault="00744544" w:rsidP="00744544">
      <w:pPr>
        <w:pStyle w:val="paragraph"/>
        <w:spacing w:before="0" w:beforeAutospacing="0" w:after="0" w:afterAutospacing="0"/>
        <w:textAlignment w:val="baseline"/>
        <w:rPr>
          <w:rFonts w:ascii="Arial" w:hAnsi="Arial" w:cs="Arial"/>
          <w:sz w:val="18"/>
          <w:szCs w:val="18"/>
        </w:rPr>
      </w:pPr>
      <w:r>
        <w:rPr>
          <w:rStyle w:val="eop"/>
          <w:rFonts w:ascii="Tahoma" w:hAnsi="Tahoma" w:cs="Tahoma"/>
          <w:sz w:val="24"/>
          <w:szCs w:val="24"/>
        </w:rPr>
        <w:t> </w:t>
      </w:r>
    </w:p>
    <w:p w:rsidR="004F7D64" w:rsidRDefault="004F7D64"/>
    <w:sectPr w:rsidR="004F7D64" w:rsidSect="004F7D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44"/>
    <w:rsid w:val="004F7D64"/>
    <w:rsid w:val="007445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44544"/>
    <w:pPr>
      <w:spacing w:before="100" w:beforeAutospacing="1" w:after="100" w:afterAutospacing="1"/>
    </w:pPr>
    <w:rPr>
      <w:rFonts w:ascii="Times New Roman" w:hAnsi="Times New Roman" w:cs="Times New Roman"/>
      <w:sz w:val="20"/>
      <w:szCs w:val="20"/>
    </w:rPr>
  </w:style>
  <w:style w:type="character" w:customStyle="1" w:styleId="normaltextrun">
    <w:name w:val="normaltextrun"/>
    <w:basedOn w:val="DefaultParagraphFont"/>
    <w:rsid w:val="00744544"/>
  </w:style>
  <w:style w:type="character" w:customStyle="1" w:styleId="eop">
    <w:name w:val="eop"/>
    <w:basedOn w:val="DefaultParagraphFont"/>
    <w:rsid w:val="00744544"/>
  </w:style>
  <w:style w:type="character" w:customStyle="1" w:styleId="tabchar">
    <w:name w:val="tabchar"/>
    <w:basedOn w:val="DefaultParagraphFont"/>
    <w:rsid w:val="00744544"/>
  </w:style>
  <w:style w:type="character" w:customStyle="1" w:styleId="scxw231656832">
    <w:name w:val="scxw231656832"/>
    <w:basedOn w:val="DefaultParagraphFont"/>
    <w:rsid w:val="0074454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44544"/>
    <w:pPr>
      <w:spacing w:before="100" w:beforeAutospacing="1" w:after="100" w:afterAutospacing="1"/>
    </w:pPr>
    <w:rPr>
      <w:rFonts w:ascii="Times New Roman" w:hAnsi="Times New Roman" w:cs="Times New Roman"/>
      <w:sz w:val="20"/>
      <w:szCs w:val="20"/>
    </w:rPr>
  </w:style>
  <w:style w:type="character" w:customStyle="1" w:styleId="normaltextrun">
    <w:name w:val="normaltextrun"/>
    <w:basedOn w:val="DefaultParagraphFont"/>
    <w:rsid w:val="00744544"/>
  </w:style>
  <w:style w:type="character" w:customStyle="1" w:styleId="eop">
    <w:name w:val="eop"/>
    <w:basedOn w:val="DefaultParagraphFont"/>
    <w:rsid w:val="00744544"/>
  </w:style>
  <w:style w:type="character" w:customStyle="1" w:styleId="tabchar">
    <w:name w:val="tabchar"/>
    <w:basedOn w:val="DefaultParagraphFont"/>
    <w:rsid w:val="00744544"/>
  </w:style>
  <w:style w:type="character" w:customStyle="1" w:styleId="scxw231656832">
    <w:name w:val="scxw231656832"/>
    <w:basedOn w:val="DefaultParagraphFont"/>
    <w:rsid w:val="00744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006543">
      <w:bodyDiv w:val="1"/>
      <w:marLeft w:val="0"/>
      <w:marRight w:val="0"/>
      <w:marTop w:val="0"/>
      <w:marBottom w:val="0"/>
      <w:divBdr>
        <w:top w:val="none" w:sz="0" w:space="0" w:color="auto"/>
        <w:left w:val="none" w:sz="0" w:space="0" w:color="auto"/>
        <w:bottom w:val="none" w:sz="0" w:space="0" w:color="auto"/>
        <w:right w:val="none" w:sz="0" w:space="0" w:color="auto"/>
      </w:divBdr>
      <w:divsChild>
        <w:div w:id="887452343">
          <w:marLeft w:val="0"/>
          <w:marRight w:val="0"/>
          <w:marTop w:val="0"/>
          <w:marBottom w:val="0"/>
          <w:divBdr>
            <w:top w:val="none" w:sz="0" w:space="0" w:color="auto"/>
            <w:left w:val="none" w:sz="0" w:space="0" w:color="auto"/>
            <w:bottom w:val="none" w:sz="0" w:space="0" w:color="auto"/>
            <w:right w:val="none" w:sz="0" w:space="0" w:color="auto"/>
          </w:divBdr>
        </w:div>
        <w:div w:id="100414899">
          <w:marLeft w:val="0"/>
          <w:marRight w:val="0"/>
          <w:marTop w:val="0"/>
          <w:marBottom w:val="0"/>
          <w:divBdr>
            <w:top w:val="none" w:sz="0" w:space="0" w:color="auto"/>
            <w:left w:val="none" w:sz="0" w:space="0" w:color="auto"/>
            <w:bottom w:val="none" w:sz="0" w:space="0" w:color="auto"/>
            <w:right w:val="none" w:sz="0" w:space="0" w:color="auto"/>
          </w:divBdr>
        </w:div>
        <w:div w:id="485586143">
          <w:marLeft w:val="0"/>
          <w:marRight w:val="0"/>
          <w:marTop w:val="0"/>
          <w:marBottom w:val="0"/>
          <w:divBdr>
            <w:top w:val="none" w:sz="0" w:space="0" w:color="auto"/>
            <w:left w:val="none" w:sz="0" w:space="0" w:color="auto"/>
            <w:bottom w:val="none" w:sz="0" w:space="0" w:color="auto"/>
            <w:right w:val="none" w:sz="0" w:space="0" w:color="auto"/>
          </w:divBdr>
        </w:div>
        <w:div w:id="900097393">
          <w:marLeft w:val="0"/>
          <w:marRight w:val="0"/>
          <w:marTop w:val="0"/>
          <w:marBottom w:val="0"/>
          <w:divBdr>
            <w:top w:val="none" w:sz="0" w:space="0" w:color="auto"/>
            <w:left w:val="none" w:sz="0" w:space="0" w:color="auto"/>
            <w:bottom w:val="none" w:sz="0" w:space="0" w:color="auto"/>
            <w:right w:val="none" w:sz="0" w:space="0" w:color="auto"/>
          </w:divBdr>
        </w:div>
        <w:div w:id="886768988">
          <w:marLeft w:val="0"/>
          <w:marRight w:val="0"/>
          <w:marTop w:val="0"/>
          <w:marBottom w:val="0"/>
          <w:divBdr>
            <w:top w:val="none" w:sz="0" w:space="0" w:color="auto"/>
            <w:left w:val="none" w:sz="0" w:space="0" w:color="auto"/>
            <w:bottom w:val="none" w:sz="0" w:space="0" w:color="auto"/>
            <w:right w:val="none" w:sz="0" w:space="0" w:color="auto"/>
          </w:divBdr>
        </w:div>
        <w:div w:id="402333855">
          <w:marLeft w:val="0"/>
          <w:marRight w:val="0"/>
          <w:marTop w:val="0"/>
          <w:marBottom w:val="0"/>
          <w:divBdr>
            <w:top w:val="none" w:sz="0" w:space="0" w:color="auto"/>
            <w:left w:val="none" w:sz="0" w:space="0" w:color="auto"/>
            <w:bottom w:val="none" w:sz="0" w:space="0" w:color="auto"/>
            <w:right w:val="none" w:sz="0" w:space="0" w:color="auto"/>
          </w:divBdr>
        </w:div>
        <w:div w:id="345207950">
          <w:marLeft w:val="0"/>
          <w:marRight w:val="0"/>
          <w:marTop w:val="0"/>
          <w:marBottom w:val="0"/>
          <w:divBdr>
            <w:top w:val="none" w:sz="0" w:space="0" w:color="auto"/>
            <w:left w:val="none" w:sz="0" w:space="0" w:color="auto"/>
            <w:bottom w:val="none" w:sz="0" w:space="0" w:color="auto"/>
            <w:right w:val="none" w:sz="0" w:space="0" w:color="auto"/>
          </w:divBdr>
        </w:div>
        <w:div w:id="600576638">
          <w:marLeft w:val="0"/>
          <w:marRight w:val="0"/>
          <w:marTop w:val="0"/>
          <w:marBottom w:val="0"/>
          <w:divBdr>
            <w:top w:val="none" w:sz="0" w:space="0" w:color="auto"/>
            <w:left w:val="none" w:sz="0" w:space="0" w:color="auto"/>
            <w:bottom w:val="none" w:sz="0" w:space="0" w:color="auto"/>
            <w:right w:val="none" w:sz="0" w:space="0" w:color="auto"/>
          </w:divBdr>
        </w:div>
        <w:div w:id="1842544899">
          <w:marLeft w:val="0"/>
          <w:marRight w:val="0"/>
          <w:marTop w:val="0"/>
          <w:marBottom w:val="0"/>
          <w:divBdr>
            <w:top w:val="none" w:sz="0" w:space="0" w:color="auto"/>
            <w:left w:val="none" w:sz="0" w:space="0" w:color="auto"/>
            <w:bottom w:val="none" w:sz="0" w:space="0" w:color="auto"/>
            <w:right w:val="none" w:sz="0" w:space="0" w:color="auto"/>
          </w:divBdr>
        </w:div>
        <w:div w:id="1169711195">
          <w:marLeft w:val="0"/>
          <w:marRight w:val="0"/>
          <w:marTop w:val="0"/>
          <w:marBottom w:val="0"/>
          <w:divBdr>
            <w:top w:val="none" w:sz="0" w:space="0" w:color="auto"/>
            <w:left w:val="none" w:sz="0" w:space="0" w:color="auto"/>
            <w:bottom w:val="none" w:sz="0" w:space="0" w:color="auto"/>
            <w:right w:val="none" w:sz="0" w:space="0" w:color="auto"/>
          </w:divBdr>
        </w:div>
        <w:div w:id="436021015">
          <w:marLeft w:val="0"/>
          <w:marRight w:val="0"/>
          <w:marTop w:val="0"/>
          <w:marBottom w:val="0"/>
          <w:divBdr>
            <w:top w:val="none" w:sz="0" w:space="0" w:color="auto"/>
            <w:left w:val="none" w:sz="0" w:space="0" w:color="auto"/>
            <w:bottom w:val="none" w:sz="0" w:space="0" w:color="auto"/>
            <w:right w:val="none" w:sz="0" w:space="0" w:color="auto"/>
          </w:divBdr>
        </w:div>
        <w:div w:id="510149974">
          <w:marLeft w:val="0"/>
          <w:marRight w:val="0"/>
          <w:marTop w:val="0"/>
          <w:marBottom w:val="0"/>
          <w:divBdr>
            <w:top w:val="none" w:sz="0" w:space="0" w:color="auto"/>
            <w:left w:val="none" w:sz="0" w:space="0" w:color="auto"/>
            <w:bottom w:val="none" w:sz="0" w:space="0" w:color="auto"/>
            <w:right w:val="none" w:sz="0" w:space="0" w:color="auto"/>
          </w:divBdr>
        </w:div>
        <w:div w:id="173224322">
          <w:marLeft w:val="0"/>
          <w:marRight w:val="0"/>
          <w:marTop w:val="0"/>
          <w:marBottom w:val="0"/>
          <w:divBdr>
            <w:top w:val="none" w:sz="0" w:space="0" w:color="auto"/>
            <w:left w:val="none" w:sz="0" w:space="0" w:color="auto"/>
            <w:bottom w:val="none" w:sz="0" w:space="0" w:color="auto"/>
            <w:right w:val="none" w:sz="0" w:space="0" w:color="auto"/>
          </w:divBdr>
        </w:div>
        <w:div w:id="1511289319">
          <w:marLeft w:val="0"/>
          <w:marRight w:val="0"/>
          <w:marTop w:val="0"/>
          <w:marBottom w:val="0"/>
          <w:divBdr>
            <w:top w:val="none" w:sz="0" w:space="0" w:color="auto"/>
            <w:left w:val="none" w:sz="0" w:space="0" w:color="auto"/>
            <w:bottom w:val="none" w:sz="0" w:space="0" w:color="auto"/>
            <w:right w:val="none" w:sz="0" w:space="0" w:color="auto"/>
          </w:divBdr>
        </w:div>
        <w:div w:id="1344865480">
          <w:marLeft w:val="0"/>
          <w:marRight w:val="0"/>
          <w:marTop w:val="0"/>
          <w:marBottom w:val="0"/>
          <w:divBdr>
            <w:top w:val="none" w:sz="0" w:space="0" w:color="auto"/>
            <w:left w:val="none" w:sz="0" w:space="0" w:color="auto"/>
            <w:bottom w:val="none" w:sz="0" w:space="0" w:color="auto"/>
            <w:right w:val="none" w:sz="0" w:space="0" w:color="auto"/>
          </w:divBdr>
        </w:div>
        <w:div w:id="1947881944">
          <w:marLeft w:val="0"/>
          <w:marRight w:val="0"/>
          <w:marTop w:val="0"/>
          <w:marBottom w:val="0"/>
          <w:divBdr>
            <w:top w:val="none" w:sz="0" w:space="0" w:color="auto"/>
            <w:left w:val="none" w:sz="0" w:space="0" w:color="auto"/>
            <w:bottom w:val="none" w:sz="0" w:space="0" w:color="auto"/>
            <w:right w:val="none" w:sz="0" w:space="0" w:color="auto"/>
          </w:divBdr>
        </w:div>
        <w:div w:id="2021227120">
          <w:marLeft w:val="0"/>
          <w:marRight w:val="0"/>
          <w:marTop w:val="0"/>
          <w:marBottom w:val="0"/>
          <w:divBdr>
            <w:top w:val="none" w:sz="0" w:space="0" w:color="auto"/>
            <w:left w:val="none" w:sz="0" w:space="0" w:color="auto"/>
            <w:bottom w:val="none" w:sz="0" w:space="0" w:color="auto"/>
            <w:right w:val="none" w:sz="0" w:space="0" w:color="auto"/>
          </w:divBdr>
        </w:div>
        <w:div w:id="904409920">
          <w:marLeft w:val="0"/>
          <w:marRight w:val="0"/>
          <w:marTop w:val="0"/>
          <w:marBottom w:val="0"/>
          <w:divBdr>
            <w:top w:val="none" w:sz="0" w:space="0" w:color="auto"/>
            <w:left w:val="none" w:sz="0" w:space="0" w:color="auto"/>
            <w:bottom w:val="none" w:sz="0" w:space="0" w:color="auto"/>
            <w:right w:val="none" w:sz="0" w:space="0" w:color="auto"/>
          </w:divBdr>
        </w:div>
        <w:div w:id="989821043">
          <w:marLeft w:val="0"/>
          <w:marRight w:val="0"/>
          <w:marTop w:val="0"/>
          <w:marBottom w:val="0"/>
          <w:divBdr>
            <w:top w:val="none" w:sz="0" w:space="0" w:color="auto"/>
            <w:left w:val="none" w:sz="0" w:space="0" w:color="auto"/>
            <w:bottom w:val="none" w:sz="0" w:space="0" w:color="auto"/>
            <w:right w:val="none" w:sz="0" w:space="0" w:color="auto"/>
          </w:divBdr>
        </w:div>
        <w:div w:id="2002077024">
          <w:marLeft w:val="0"/>
          <w:marRight w:val="0"/>
          <w:marTop w:val="0"/>
          <w:marBottom w:val="0"/>
          <w:divBdr>
            <w:top w:val="none" w:sz="0" w:space="0" w:color="auto"/>
            <w:left w:val="none" w:sz="0" w:space="0" w:color="auto"/>
            <w:bottom w:val="none" w:sz="0" w:space="0" w:color="auto"/>
            <w:right w:val="none" w:sz="0" w:space="0" w:color="auto"/>
          </w:divBdr>
        </w:div>
        <w:div w:id="396166523">
          <w:marLeft w:val="0"/>
          <w:marRight w:val="0"/>
          <w:marTop w:val="0"/>
          <w:marBottom w:val="0"/>
          <w:divBdr>
            <w:top w:val="none" w:sz="0" w:space="0" w:color="auto"/>
            <w:left w:val="none" w:sz="0" w:space="0" w:color="auto"/>
            <w:bottom w:val="none" w:sz="0" w:space="0" w:color="auto"/>
            <w:right w:val="none" w:sz="0" w:space="0" w:color="auto"/>
          </w:divBdr>
        </w:div>
        <w:div w:id="1278752584">
          <w:marLeft w:val="0"/>
          <w:marRight w:val="0"/>
          <w:marTop w:val="0"/>
          <w:marBottom w:val="0"/>
          <w:divBdr>
            <w:top w:val="none" w:sz="0" w:space="0" w:color="auto"/>
            <w:left w:val="none" w:sz="0" w:space="0" w:color="auto"/>
            <w:bottom w:val="none" w:sz="0" w:space="0" w:color="auto"/>
            <w:right w:val="none" w:sz="0" w:space="0" w:color="auto"/>
          </w:divBdr>
        </w:div>
        <w:div w:id="1554077744">
          <w:marLeft w:val="0"/>
          <w:marRight w:val="0"/>
          <w:marTop w:val="0"/>
          <w:marBottom w:val="0"/>
          <w:divBdr>
            <w:top w:val="none" w:sz="0" w:space="0" w:color="auto"/>
            <w:left w:val="none" w:sz="0" w:space="0" w:color="auto"/>
            <w:bottom w:val="none" w:sz="0" w:space="0" w:color="auto"/>
            <w:right w:val="none" w:sz="0" w:space="0" w:color="auto"/>
          </w:divBdr>
        </w:div>
        <w:div w:id="1107701047">
          <w:marLeft w:val="0"/>
          <w:marRight w:val="0"/>
          <w:marTop w:val="0"/>
          <w:marBottom w:val="0"/>
          <w:divBdr>
            <w:top w:val="none" w:sz="0" w:space="0" w:color="auto"/>
            <w:left w:val="none" w:sz="0" w:space="0" w:color="auto"/>
            <w:bottom w:val="none" w:sz="0" w:space="0" w:color="auto"/>
            <w:right w:val="none" w:sz="0" w:space="0" w:color="auto"/>
          </w:divBdr>
        </w:div>
        <w:div w:id="657272866">
          <w:marLeft w:val="0"/>
          <w:marRight w:val="0"/>
          <w:marTop w:val="0"/>
          <w:marBottom w:val="0"/>
          <w:divBdr>
            <w:top w:val="none" w:sz="0" w:space="0" w:color="auto"/>
            <w:left w:val="none" w:sz="0" w:space="0" w:color="auto"/>
            <w:bottom w:val="none" w:sz="0" w:space="0" w:color="auto"/>
            <w:right w:val="none" w:sz="0" w:space="0" w:color="auto"/>
          </w:divBdr>
        </w:div>
        <w:div w:id="713771869">
          <w:marLeft w:val="0"/>
          <w:marRight w:val="0"/>
          <w:marTop w:val="0"/>
          <w:marBottom w:val="0"/>
          <w:divBdr>
            <w:top w:val="none" w:sz="0" w:space="0" w:color="auto"/>
            <w:left w:val="none" w:sz="0" w:space="0" w:color="auto"/>
            <w:bottom w:val="none" w:sz="0" w:space="0" w:color="auto"/>
            <w:right w:val="none" w:sz="0" w:space="0" w:color="auto"/>
          </w:divBdr>
        </w:div>
        <w:div w:id="1291471460">
          <w:marLeft w:val="0"/>
          <w:marRight w:val="0"/>
          <w:marTop w:val="0"/>
          <w:marBottom w:val="0"/>
          <w:divBdr>
            <w:top w:val="none" w:sz="0" w:space="0" w:color="auto"/>
            <w:left w:val="none" w:sz="0" w:space="0" w:color="auto"/>
            <w:bottom w:val="none" w:sz="0" w:space="0" w:color="auto"/>
            <w:right w:val="none" w:sz="0" w:space="0" w:color="auto"/>
          </w:divBdr>
        </w:div>
        <w:div w:id="2119710783">
          <w:marLeft w:val="0"/>
          <w:marRight w:val="0"/>
          <w:marTop w:val="0"/>
          <w:marBottom w:val="0"/>
          <w:divBdr>
            <w:top w:val="none" w:sz="0" w:space="0" w:color="auto"/>
            <w:left w:val="none" w:sz="0" w:space="0" w:color="auto"/>
            <w:bottom w:val="none" w:sz="0" w:space="0" w:color="auto"/>
            <w:right w:val="none" w:sz="0" w:space="0" w:color="auto"/>
          </w:divBdr>
        </w:div>
        <w:div w:id="1906989179">
          <w:marLeft w:val="0"/>
          <w:marRight w:val="0"/>
          <w:marTop w:val="0"/>
          <w:marBottom w:val="0"/>
          <w:divBdr>
            <w:top w:val="none" w:sz="0" w:space="0" w:color="auto"/>
            <w:left w:val="none" w:sz="0" w:space="0" w:color="auto"/>
            <w:bottom w:val="none" w:sz="0" w:space="0" w:color="auto"/>
            <w:right w:val="none" w:sz="0" w:space="0" w:color="auto"/>
          </w:divBdr>
        </w:div>
        <w:div w:id="32729584">
          <w:marLeft w:val="0"/>
          <w:marRight w:val="0"/>
          <w:marTop w:val="0"/>
          <w:marBottom w:val="0"/>
          <w:divBdr>
            <w:top w:val="none" w:sz="0" w:space="0" w:color="auto"/>
            <w:left w:val="none" w:sz="0" w:space="0" w:color="auto"/>
            <w:bottom w:val="none" w:sz="0" w:space="0" w:color="auto"/>
            <w:right w:val="none" w:sz="0" w:space="0" w:color="auto"/>
          </w:divBdr>
        </w:div>
        <w:div w:id="824276921">
          <w:marLeft w:val="0"/>
          <w:marRight w:val="0"/>
          <w:marTop w:val="0"/>
          <w:marBottom w:val="0"/>
          <w:divBdr>
            <w:top w:val="none" w:sz="0" w:space="0" w:color="auto"/>
            <w:left w:val="none" w:sz="0" w:space="0" w:color="auto"/>
            <w:bottom w:val="none" w:sz="0" w:space="0" w:color="auto"/>
            <w:right w:val="none" w:sz="0" w:space="0" w:color="auto"/>
          </w:divBdr>
        </w:div>
        <w:div w:id="303580007">
          <w:marLeft w:val="0"/>
          <w:marRight w:val="0"/>
          <w:marTop w:val="0"/>
          <w:marBottom w:val="0"/>
          <w:divBdr>
            <w:top w:val="none" w:sz="0" w:space="0" w:color="auto"/>
            <w:left w:val="none" w:sz="0" w:space="0" w:color="auto"/>
            <w:bottom w:val="none" w:sz="0" w:space="0" w:color="auto"/>
            <w:right w:val="none" w:sz="0" w:space="0" w:color="auto"/>
          </w:divBdr>
        </w:div>
        <w:div w:id="1900625803">
          <w:marLeft w:val="0"/>
          <w:marRight w:val="0"/>
          <w:marTop w:val="0"/>
          <w:marBottom w:val="0"/>
          <w:divBdr>
            <w:top w:val="none" w:sz="0" w:space="0" w:color="auto"/>
            <w:left w:val="none" w:sz="0" w:space="0" w:color="auto"/>
            <w:bottom w:val="none" w:sz="0" w:space="0" w:color="auto"/>
            <w:right w:val="none" w:sz="0" w:space="0" w:color="auto"/>
          </w:divBdr>
        </w:div>
        <w:div w:id="1339428600">
          <w:marLeft w:val="0"/>
          <w:marRight w:val="0"/>
          <w:marTop w:val="0"/>
          <w:marBottom w:val="0"/>
          <w:divBdr>
            <w:top w:val="none" w:sz="0" w:space="0" w:color="auto"/>
            <w:left w:val="none" w:sz="0" w:space="0" w:color="auto"/>
            <w:bottom w:val="none" w:sz="0" w:space="0" w:color="auto"/>
            <w:right w:val="none" w:sz="0" w:space="0" w:color="auto"/>
          </w:divBdr>
        </w:div>
        <w:div w:id="125956283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1595</Words>
  <Characters>9095</Characters>
  <Application>Microsoft Macintosh Word</Application>
  <DocSecurity>0</DocSecurity>
  <Lines>75</Lines>
  <Paragraphs>21</Paragraphs>
  <ScaleCrop>false</ScaleCrop>
  <Company/>
  <LinksUpToDate>false</LinksUpToDate>
  <CharactersWithSpaces>10669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2021-09-19T02:10:00Z</dcterms:created>
  <dcterms:modified xsi:type="dcterms:W3CDTF">2021-09-19T02:10:00Z</dcterms:modified>
</cp:coreProperties>
</file>